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7F4B25" w:rsidRDefault="00C47652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300 тысяч кубометров мусора: итоги работы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регоператора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февраль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1D" w:rsidRDefault="00C47652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Жители юга Кузбасса образовали более трехсот тысяч кубометров отходов в феврале 2019 года. 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653B">
        <w:rPr>
          <w:rFonts w:ascii="Times New Roman" w:hAnsi="Times New Roman" w:cs="Times New Roman"/>
          <w:color w:val="000000"/>
          <w:sz w:val="24"/>
          <w:szCs w:val="24"/>
        </w:rPr>
        <w:t>Больше всего отходов было вывезено с лота 11, куда входит Центральный, Новоильинский и Заводской</w:t>
      </w:r>
      <w:r w:rsidR="003024C0">
        <w:rPr>
          <w:rFonts w:ascii="Times New Roman" w:hAnsi="Times New Roman" w:cs="Times New Roman"/>
          <w:color w:val="000000"/>
          <w:sz w:val="24"/>
          <w:szCs w:val="24"/>
        </w:rPr>
        <w:t xml:space="preserve"> и Куйбышевский</w:t>
      </w:r>
      <w:r w:rsidR="00D8653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3024C0">
        <w:rPr>
          <w:rFonts w:ascii="Times New Roman" w:hAnsi="Times New Roman" w:cs="Times New Roman"/>
          <w:color w:val="000000"/>
          <w:sz w:val="24"/>
          <w:szCs w:val="24"/>
        </w:rPr>
        <w:t>ы</w:t>
      </w:r>
      <w:bookmarkStart w:id="2" w:name="_GoBack"/>
      <w:bookmarkEnd w:id="2"/>
      <w:r w:rsidR="00D8653B">
        <w:rPr>
          <w:rFonts w:ascii="Times New Roman" w:hAnsi="Times New Roman" w:cs="Times New Roman"/>
          <w:color w:val="000000"/>
          <w:sz w:val="24"/>
          <w:szCs w:val="24"/>
        </w:rPr>
        <w:t xml:space="preserve"> Новокузнецка и Новокузнецкий район – 134 тысячи м3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653B">
        <w:rPr>
          <w:rFonts w:ascii="Times New Roman" w:hAnsi="Times New Roman" w:cs="Times New Roman"/>
          <w:color w:val="000000"/>
          <w:sz w:val="24"/>
          <w:szCs w:val="24"/>
        </w:rPr>
        <w:t xml:space="preserve"> Меньше всего мусорят в Краснобродском, отсюда на утилизацию отправлено чуть больше трех тысяч кубометров ТКО.</w:t>
      </w:r>
    </w:p>
    <w:p w:rsidR="00D05E1D" w:rsidRDefault="00D05E1D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F4B25" w:rsidRDefault="00D8653B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-центр в феврале поступило 12 тысяч обращений со всех территорий юга Кузбасса. Чаще всего потребители оставляют заявки на вывоз контейнеров, этому посвящено 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>5,5 тысяч обращений. Три тысячи обращений посвящено вопросам начисления платы за услугу «Обращение с ТКО»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381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Операторы </w:t>
      </w:r>
      <w:proofErr w:type="spellStart"/>
      <w:r w:rsidR="00D33813">
        <w:rPr>
          <w:rFonts w:ascii="Times New Roman" w:hAnsi="Times New Roman" w:cs="Times New Roman"/>
          <w:color w:val="000000"/>
          <w:sz w:val="24"/>
          <w:szCs w:val="24"/>
        </w:rPr>
        <w:t>колл</w:t>
      </w:r>
      <w:proofErr w:type="spellEnd"/>
      <w:r w:rsidR="00D33813">
        <w:rPr>
          <w:rFonts w:ascii="Times New Roman" w:hAnsi="Times New Roman" w:cs="Times New Roman"/>
          <w:color w:val="000000"/>
          <w:sz w:val="24"/>
          <w:szCs w:val="24"/>
        </w:rPr>
        <w:t>-центра дали тысячу разъяснений и консультаций касаемо заключения договоров, установки контейнеров и обслуживания контейнерных площадок, вывоза крупногабаритных отходов, тарифа и норматива накопления.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1687" w:rsidRDefault="007F4B25" w:rsidP="00DA1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</w:t>
      </w:r>
      <w:r w:rsidR="00D33813">
        <w:rPr>
          <w:rFonts w:ascii="Times New Roman" w:hAnsi="Times New Roman" w:cs="Times New Roman"/>
          <w:sz w:val="24"/>
          <w:szCs w:val="24"/>
        </w:rPr>
        <w:t xml:space="preserve"> региональный оператор «</w:t>
      </w:r>
      <w:proofErr w:type="spellStart"/>
      <w:r w:rsidR="00D33813">
        <w:rPr>
          <w:rFonts w:ascii="Times New Roman" w:hAnsi="Times New Roman" w:cs="Times New Roman"/>
          <w:sz w:val="24"/>
          <w:szCs w:val="24"/>
        </w:rPr>
        <w:t>ЭкоТек</w:t>
      </w:r>
      <w:proofErr w:type="spellEnd"/>
      <w:r w:rsidR="00D33813">
        <w:rPr>
          <w:rFonts w:ascii="Times New Roman" w:hAnsi="Times New Roman" w:cs="Times New Roman"/>
          <w:sz w:val="24"/>
          <w:szCs w:val="24"/>
        </w:rPr>
        <w:t xml:space="preserve">» приступил к работе 1 июля 2018 года. В зону обслуживания входит юг Кузбасса от Краснобродского до </w:t>
      </w:r>
      <w:proofErr w:type="spellStart"/>
      <w:r w:rsidR="00D33813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D3381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0F117B"/>
    <w:rsid w:val="00120552"/>
    <w:rsid w:val="00277814"/>
    <w:rsid w:val="002A4E4A"/>
    <w:rsid w:val="002B162C"/>
    <w:rsid w:val="003024C0"/>
    <w:rsid w:val="0040002F"/>
    <w:rsid w:val="004817BF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7F4B25"/>
    <w:rsid w:val="00820EA2"/>
    <w:rsid w:val="008314AD"/>
    <w:rsid w:val="00864ADF"/>
    <w:rsid w:val="00A53030"/>
    <w:rsid w:val="00A751B4"/>
    <w:rsid w:val="00A76E03"/>
    <w:rsid w:val="00AD58FA"/>
    <w:rsid w:val="00AF36FD"/>
    <w:rsid w:val="00B35DD1"/>
    <w:rsid w:val="00BD3623"/>
    <w:rsid w:val="00BF4623"/>
    <w:rsid w:val="00C47652"/>
    <w:rsid w:val="00C5402F"/>
    <w:rsid w:val="00D05E1D"/>
    <w:rsid w:val="00D33813"/>
    <w:rsid w:val="00D6547D"/>
    <w:rsid w:val="00D65854"/>
    <w:rsid w:val="00D8653B"/>
    <w:rsid w:val="00DA1687"/>
    <w:rsid w:val="00DD3413"/>
    <w:rsid w:val="00DE0E32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5</cp:revision>
  <dcterms:created xsi:type="dcterms:W3CDTF">2019-02-04T05:32:00Z</dcterms:created>
  <dcterms:modified xsi:type="dcterms:W3CDTF">2019-02-28T08:31:00Z</dcterms:modified>
</cp:coreProperties>
</file>