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  <w:bookmarkStart w:id="1" w:name="_GoBack"/>
                                  <w:bookmarkEnd w:id="1"/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2" w:name="_GoBack1"/>
                            <w:bookmarkEnd w:id="2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  <w:bookmarkStart w:id="3" w:name="_GoBack"/>
                            <w:bookmarkEnd w:id="3"/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1494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DD1" w:rsidRPr="00B35DD1" w:rsidRDefault="00B35DD1" w:rsidP="00B35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D1">
        <w:rPr>
          <w:rFonts w:ascii="Times New Roman" w:hAnsi="Times New Roman" w:cs="Times New Roman"/>
          <w:b/>
          <w:sz w:val="28"/>
          <w:szCs w:val="28"/>
        </w:rPr>
        <w:t xml:space="preserve">Незначительное повышение: тариф на </w:t>
      </w:r>
      <w:r>
        <w:rPr>
          <w:rFonts w:ascii="Times New Roman" w:hAnsi="Times New Roman" w:cs="Times New Roman"/>
          <w:b/>
          <w:sz w:val="28"/>
          <w:szCs w:val="28"/>
        </w:rPr>
        <w:t>услугу «О</w:t>
      </w:r>
      <w:r w:rsidRPr="00B35DD1">
        <w:rPr>
          <w:rFonts w:ascii="Times New Roman" w:hAnsi="Times New Roman" w:cs="Times New Roman"/>
          <w:b/>
          <w:sz w:val="28"/>
          <w:szCs w:val="28"/>
        </w:rPr>
        <w:t>бращение с ТКО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35DD1">
        <w:rPr>
          <w:rFonts w:ascii="Times New Roman" w:hAnsi="Times New Roman" w:cs="Times New Roman"/>
          <w:b/>
          <w:sz w:val="28"/>
          <w:szCs w:val="28"/>
        </w:rPr>
        <w:t xml:space="preserve"> поднимется на 34 копейки</w:t>
      </w:r>
    </w:p>
    <w:p w:rsidR="00064D92" w:rsidRDefault="00064D92" w:rsidP="00064D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DD1" w:rsidRPr="00B35DD1" w:rsidRDefault="00B35DD1" w:rsidP="00B35DD1">
      <w:pPr>
        <w:rPr>
          <w:rFonts w:ascii="Times New Roman" w:hAnsi="Times New Roman" w:cs="Times New Roman"/>
          <w:b/>
        </w:rPr>
      </w:pPr>
      <w:r w:rsidRPr="00B35DD1">
        <w:rPr>
          <w:rFonts w:ascii="Times New Roman" w:hAnsi="Times New Roman" w:cs="Times New Roman"/>
          <w:b/>
        </w:rPr>
        <w:t xml:space="preserve">В ряду индексации других тарифов на коммунальные услуги жителей юга Кузбасса ожидает повышение тарифа на </w:t>
      </w:r>
      <w:r w:rsidR="004817BF">
        <w:rPr>
          <w:rFonts w:ascii="Times New Roman" w:hAnsi="Times New Roman" w:cs="Times New Roman"/>
          <w:b/>
        </w:rPr>
        <w:t>услугу «О</w:t>
      </w:r>
      <w:r>
        <w:rPr>
          <w:rFonts w:ascii="Times New Roman" w:hAnsi="Times New Roman" w:cs="Times New Roman"/>
          <w:b/>
        </w:rPr>
        <w:t>бращение с ТКО»</w:t>
      </w:r>
      <w:r w:rsidRPr="00B35DD1">
        <w:rPr>
          <w:rFonts w:ascii="Times New Roman" w:hAnsi="Times New Roman" w:cs="Times New Roman"/>
          <w:b/>
        </w:rPr>
        <w:t>.</w:t>
      </w:r>
    </w:p>
    <w:p w:rsidR="00064D92" w:rsidRDefault="00064D92" w:rsidP="00064D92">
      <w:pPr>
        <w:pStyle w:val="a3"/>
        <w:rPr>
          <w:rFonts w:hint="eastAsia"/>
        </w:rPr>
      </w:pPr>
    </w:p>
    <w:p w:rsidR="00B35DD1" w:rsidRDefault="00B35DD1" w:rsidP="00B35DD1">
      <w:pPr>
        <w:jc w:val="both"/>
        <w:rPr>
          <w:rFonts w:hint="eastAsia"/>
        </w:rPr>
      </w:pPr>
      <w:r w:rsidRPr="00B35DD1">
        <w:t xml:space="preserve">В 2019 году </w:t>
      </w:r>
      <w:r>
        <w:t>жителей юга Кемеровской области</w:t>
      </w:r>
      <w:r w:rsidRPr="00B35DD1">
        <w:t xml:space="preserve"> ожидает двухэтапная индексация тарифов на коммунальные услуги. Это связано с повышением НДС (налога на добавленную стоимость) с 18 до 20 процентов. </w:t>
      </w:r>
    </w:p>
    <w:p w:rsidR="00B35DD1" w:rsidRDefault="00B35DD1" w:rsidP="00B35DD1">
      <w:pPr>
        <w:jc w:val="both"/>
        <w:rPr>
          <w:rFonts w:hint="eastAsia"/>
        </w:rPr>
      </w:pPr>
    </w:p>
    <w:p w:rsidR="00B35DD1" w:rsidRDefault="00B35DD1" w:rsidP="00B35DD1">
      <w:pPr>
        <w:jc w:val="both"/>
        <w:rPr>
          <w:rFonts w:hint="eastAsia"/>
        </w:rPr>
      </w:pPr>
      <w:r w:rsidRPr="00B35DD1">
        <w:t xml:space="preserve">С 1 января по 30 июня 2019 года согласно Постановлению РЭК Кемеровской области № 619 от 20.12.2018 года размер платы за услугу </w:t>
      </w:r>
      <w:r>
        <w:t>«Обращение с ТКО»</w:t>
      </w:r>
      <w:r w:rsidRPr="00B35DD1">
        <w:t xml:space="preserve"> составит 85,28 рубля на одного человека в месяц. Оплата вырастет на 34 копейки в связи с решением</w:t>
      </w:r>
      <w:r>
        <w:t xml:space="preserve"> П</w:t>
      </w:r>
      <w:r w:rsidRPr="00B35DD1">
        <w:t>равительства о повышении НДС.</w:t>
      </w:r>
    </w:p>
    <w:p w:rsidR="00B35DD1" w:rsidRPr="00B35DD1" w:rsidRDefault="00B35DD1" w:rsidP="00B35DD1">
      <w:pPr>
        <w:jc w:val="both"/>
        <w:rPr>
          <w:rFonts w:hint="eastAsia"/>
        </w:rPr>
      </w:pPr>
      <w:r w:rsidRPr="00B35DD1">
        <w:t xml:space="preserve"> </w:t>
      </w:r>
    </w:p>
    <w:p w:rsidR="00064D92" w:rsidRDefault="00B35DD1" w:rsidP="00B35DD1">
      <w:pPr>
        <w:jc w:val="both"/>
      </w:pPr>
      <w:r w:rsidRPr="00B35DD1">
        <w:t>Напомним, до 31 декабря 2018 года тари</w:t>
      </w:r>
      <w:r>
        <w:t>ф на услугу «Обращение с ТКО»</w:t>
      </w:r>
      <w:r w:rsidRPr="00B35DD1">
        <w:t xml:space="preserve"> составляет 84,94 руб</w:t>
      </w:r>
      <w:r w:rsidR="004817BF">
        <w:t xml:space="preserve">ля на одного человека в месяц. </w:t>
      </w:r>
    </w:p>
    <w:p w:rsidR="004817BF" w:rsidRPr="00B35DD1" w:rsidRDefault="004817BF" w:rsidP="00B35DD1">
      <w:pPr>
        <w:jc w:val="both"/>
        <w:rPr>
          <w:rFonts w:hint="eastAsia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FC6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тел.: 8 905 065 1626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92"/>
    <w:rsid w:val="00064D92"/>
    <w:rsid w:val="0040002F"/>
    <w:rsid w:val="004817BF"/>
    <w:rsid w:val="00540ED8"/>
    <w:rsid w:val="00707CC4"/>
    <w:rsid w:val="008314AD"/>
    <w:rsid w:val="00A53030"/>
    <w:rsid w:val="00B35DD1"/>
    <w:rsid w:val="00D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CAD4-50DD-4C53-AEB8-2D246F87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Салтыкова</dc:creator>
  <cp:keywords/>
  <dc:description/>
  <cp:lastModifiedBy>Maksim Balandin</cp:lastModifiedBy>
  <cp:revision>3</cp:revision>
  <dcterms:created xsi:type="dcterms:W3CDTF">2018-12-25T07:57:00Z</dcterms:created>
  <dcterms:modified xsi:type="dcterms:W3CDTF">2018-12-25T07:57:00Z</dcterms:modified>
</cp:coreProperties>
</file>